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2A053" w14:textId="3F1F6C35" w:rsidR="006722D3" w:rsidRDefault="006722D3" w:rsidP="006722D3">
      <w:pPr>
        <w:pStyle w:val="Heading1"/>
        <w:rPr>
          <w:rStyle w:val="SubtleEmphasis"/>
          <w:i w:val="0"/>
          <w:iCs w:val="0"/>
          <w:color w:val="7FA9AE"/>
        </w:rPr>
      </w:pPr>
      <w:r w:rsidRPr="00FC7AEB">
        <w:rPr>
          <w:rStyle w:val="SubtleEmphasis"/>
          <w:i w:val="0"/>
          <w:iCs w:val="0"/>
          <w:color w:val="7FA9AE"/>
        </w:rPr>
        <w:t>Chapter 4: Consumption in the Community</w:t>
      </w:r>
    </w:p>
    <w:p w14:paraId="3D73DC93" w14:textId="77777777" w:rsidR="008315B8" w:rsidRDefault="008315B8" w:rsidP="008315B8">
      <w:pPr>
        <w:pStyle w:val="ListParagraph"/>
        <w:numPr>
          <w:ilvl w:val="0"/>
          <w:numId w:val="16"/>
        </w:numPr>
      </w:pPr>
      <w:bookmarkStart w:id="0" w:name="_Hlk80007722"/>
      <w:r>
        <w:t>Defined Daily Dose – Annually by Health Region – Crude rates</w:t>
      </w:r>
    </w:p>
    <w:p w14:paraId="20E1CA8C" w14:textId="77777777" w:rsidR="008315B8" w:rsidRDefault="008315B8" w:rsidP="008315B8">
      <w:pPr>
        <w:pStyle w:val="ListParagraph"/>
        <w:numPr>
          <w:ilvl w:val="0"/>
          <w:numId w:val="16"/>
        </w:numPr>
      </w:pPr>
      <w:r>
        <w:t>ESAC</w:t>
      </w:r>
    </w:p>
    <w:p w14:paraId="112419DB" w14:textId="77777777" w:rsidR="008315B8" w:rsidRPr="00CE20FF" w:rsidRDefault="008315B8" w:rsidP="008315B8">
      <w:pPr>
        <w:pStyle w:val="ListParagraph"/>
        <w:numPr>
          <w:ilvl w:val="1"/>
          <w:numId w:val="16"/>
        </w:numPr>
      </w:pPr>
      <w:r w:rsidRPr="00CE20FF">
        <w:t xml:space="preserve">MB – All ages – </w:t>
      </w:r>
      <w:r>
        <w:t xml:space="preserve">Annual </w:t>
      </w:r>
      <w:r w:rsidRPr="00CE20FF">
        <w:t>crude rates</w:t>
      </w:r>
    </w:p>
    <w:p w14:paraId="3100947E" w14:textId="77777777" w:rsidR="008315B8" w:rsidRDefault="008315B8" w:rsidP="008315B8">
      <w:pPr>
        <w:pStyle w:val="ListParagraph"/>
        <w:numPr>
          <w:ilvl w:val="1"/>
          <w:numId w:val="16"/>
        </w:numPr>
      </w:pPr>
      <w:r w:rsidRPr="000A1AB3">
        <w:t>Relative Consumption of Antibiotics</w:t>
      </w:r>
    </w:p>
    <w:p w14:paraId="7E4D6682" w14:textId="77777777" w:rsidR="008315B8" w:rsidRDefault="008315B8" w:rsidP="008315B8">
      <w:pPr>
        <w:pStyle w:val="ListParagraph"/>
        <w:numPr>
          <w:ilvl w:val="2"/>
          <w:numId w:val="16"/>
        </w:numPr>
      </w:pPr>
      <w:r w:rsidRPr="007A566E">
        <w:t xml:space="preserve">J01BNR </w:t>
      </w:r>
      <w:r>
        <w:t>b</w:t>
      </w:r>
      <w:r w:rsidRPr="003D25C0">
        <w:t>y Health Region – Adults</w:t>
      </w:r>
      <w:r>
        <w:t xml:space="preserve"> and Children</w:t>
      </w:r>
      <w:r w:rsidRPr="003D25C0">
        <w:t xml:space="preserve"> - Crude and adjusted rates</w:t>
      </w:r>
    </w:p>
    <w:p w14:paraId="7A628707" w14:textId="77777777" w:rsidR="008315B8" w:rsidRDefault="008315B8" w:rsidP="008315B8">
      <w:pPr>
        <w:pStyle w:val="ListParagraph"/>
        <w:numPr>
          <w:ilvl w:val="2"/>
          <w:numId w:val="16"/>
        </w:numPr>
      </w:pPr>
      <w:r>
        <w:t xml:space="preserve">J01CE, </w:t>
      </w:r>
      <w:r w:rsidRPr="00E05E72">
        <w:t>J01CR</w:t>
      </w:r>
      <w:r>
        <w:t>, J01DD&amp;DE, and J01MA b</w:t>
      </w:r>
      <w:r w:rsidRPr="00D50406">
        <w:t xml:space="preserve">y Health Region </w:t>
      </w:r>
      <w:r>
        <w:t xml:space="preserve">(crude and adjusted) </w:t>
      </w:r>
      <w:r w:rsidRPr="00D50406">
        <w:t xml:space="preserve">– </w:t>
      </w:r>
      <w:r>
        <w:t>for a</w:t>
      </w:r>
      <w:r w:rsidRPr="00D50406">
        <w:t>dults</w:t>
      </w:r>
      <w:r>
        <w:t xml:space="preserve"> and as</w:t>
      </w:r>
      <w:r w:rsidRPr="00A40240">
        <w:t xml:space="preserve"> </w:t>
      </w:r>
      <w:r>
        <w:t>p</w:t>
      </w:r>
      <w:r w:rsidRPr="00A40240">
        <w:t xml:space="preserve">ercentage of </w:t>
      </w:r>
      <w:r>
        <w:t>a</w:t>
      </w:r>
      <w:r w:rsidRPr="00A40240">
        <w:t xml:space="preserve">ntibiotics </w:t>
      </w:r>
      <w:r>
        <w:t>o</w:t>
      </w:r>
      <w:r w:rsidRPr="00A40240">
        <w:t>verall (J01)</w:t>
      </w:r>
    </w:p>
    <w:p w14:paraId="30E316D9" w14:textId="77777777" w:rsidR="008315B8" w:rsidRDefault="008315B8" w:rsidP="008315B8">
      <w:pPr>
        <w:pStyle w:val="ListParagraph"/>
        <w:numPr>
          <w:ilvl w:val="1"/>
          <w:numId w:val="16"/>
        </w:numPr>
      </w:pPr>
      <w:r w:rsidRPr="00D25006">
        <w:t>Broad and Narrow Spectrum Consumption</w:t>
      </w:r>
    </w:p>
    <w:p w14:paraId="12F04DB0" w14:textId="77777777" w:rsidR="008315B8" w:rsidRDefault="008315B8" w:rsidP="008315B8">
      <w:pPr>
        <w:pStyle w:val="ListParagraph"/>
        <w:numPr>
          <w:ilvl w:val="2"/>
          <w:numId w:val="16"/>
        </w:numPr>
      </w:pPr>
      <w:r w:rsidRPr="006E14D1">
        <w:t>Age- and sex-adjusted relative rate</w:t>
      </w:r>
      <w:r>
        <w:t>s</w:t>
      </w:r>
    </w:p>
    <w:p w14:paraId="27E11E06" w14:textId="77777777" w:rsidR="008315B8" w:rsidRDefault="008315B8" w:rsidP="008315B8">
      <w:pPr>
        <w:pStyle w:val="ListParagraph"/>
        <w:numPr>
          <w:ilvl w:val="1"/>
          <w:numId w:val="16"/>
        </w:numPr>
      </w:pPr>
      <w:r w:rsidRPr="00944AB4">
        <w:t>Seasonal Variation in Antibiotic Consumption</w:t>
      </w:r>
    </w:p>
    <w:p w14:paraId="024991CB" w14:textId="77777777" w:rsidR="008315B8" w:rsidRDefault="008315B8" w:rsidP="008315B8">
      <w:pPr>
        <w:pStyle w:val="ListParagraph"/>
        <w:numPr>
          <w:ilvl w:val="2"/>
          <w:numId w:val="16"/>
        </w:numPr>
      </w:pPr>
      <w:r>
        <w:t>J01 overall by Health Region</w:t>
      </w:r>
    </w:p>
    <w:p w14:paraId="5B6AC268" w14:textId="77777777" w:rsidR="008315B8" w:rsidRDefault="008315B8" w:rsidP="008315B8">
      <w:pPr>
        <w:pStyle w:val="ListParagraph"/>
        <w:numPr>
          <w:ilvl w:val="3"/>
          <w:numId w:val="16"/>
        </w:numPr>
      </w:pPr>
      <w:r>
        <w:t>Crude and adjusted rates for adults</w:t>
      </w:r>
    </w:p>
    <w:p w14:paraId="29B0E953" w14:textId="77777777" w:rsidR="008315B8" w:rsidRDefault="008315B8" w:rsidP="008315B8">
      <w:pPr>
        <w:pStyle w:val="ListParagraph"/>
        <w:numPr>
          <w:ilvl w:val="3"/>
          <w:numId w:val="16"/>
        </w:numPr>
      </w:pPr>
      <w:r w:rsidRPr="0048027A">
        <w:t>Percent Change from Summer to Winter Quarte</w:t>
      </w:r>
      <w:r>
        <w:t>r</w:t>
      </w:r>
      <w:r w:rsidRPr="0048027A">
        <w:t>s</w:t>
      </w:r>
      <w:r>
        <w:t xml:space="preserve"> (Crude and adjusted rates)</w:t>
      </w:r>
    </w:p>
    <w:p w14:paraId="02F3E1F5" w14:textId="77777777" w:rsidR="008315B8" w:rsidRDefault="008315B8" w:rsidP="008315B8">
      <w:pPr>
        <w:pStyle w:val="ListParagraph"/>
        <w:numPr>
          <w:ilvl w:val="3"/>
          <w:numId w:val="16"/>
        </w:numPr>
      </w:pPr>
      <w:r w:rsidRPr="002A1BCB">
        <w:t>Seasonal Variation Relative to Manitoba</w:t>
      </w:r>
      <w:r>
        <w:t xml:space="preserve"> </w:t>
      </w:r>
      <w:r w:rsidRPr="00AB3983">
        <w:t>(Crude and adjusted rates)</w:t>
      </w:r>
    </w:p>
    <w:p w14:paraId="61302E72" w14:textId="77777777" w:rsidR="008315B8" w:rsidRDefault="008315B8" w:rsidP="008315B8">
      <w:pPr>
        <w:pStyle w:val="ListParagraph"/>
        <w:numPr>
          <w:ilvl w:val="2"/>
          <w:numId w:val="16"/>
        </w:numPr>
      </w:pPr>
      <w:r>
        <w:t>J01M</w:t>
      </w:r>
    </w:p>
    <w:p w14:paraId="1072BF55" w14:textId="77777777" w:rsidR="008315B8" w:rsidRDefault="008315B8" w:rsidP="008315B8">
      <w:pPr>
        <w:pStyle w:val="ListParagraph"/>
        <w:numPr>
          <w:ilvl w:val="3"/>
          <w:numId w:val="16"/>
        </w:numPr>
      </w:pPr>
      <w:r w:rsidRPr="00C53623">
        <w:t>Crude and adjusted rates for adults</w:t>
      </w:r>
    </w:p>
    <w:p w14:paraId="6C3F35EE" w14:textId="2D0B9F34" w:rsidR="0072072B" w:rsidRDefault="008315B8" w:rsidP="00C83781">
      <w:pPr>
        <w:pStyle w:val="ListParagraph"/>
        <w:numPr>
          <w:ilvl w:val="3"/>
          <w:numId w:val="16"/>
        </w:numPr>
      </w:pPr>
      <w:r w:rsidRPr="00514378">
        <w:t>Crude percent change from summer</w:t>
      </w:r>
      <w:r>
        <w:t xml:space="preserve"> </w:t>
      </w:r>
      <w:r w:rsidRPr="00514378">
        <w:t>to winter quarter</w:t>
      </w:r>
      <w:bookmarkEnd w:id="0"/>
    </w:p>
    <w:sectPr w:rsidR="007207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38E36" w14:textId="77777777" w:rsidR="004C7EEA" w:rsidRDefault="004C7EEA" w:rsidP="00C41B0F">
      <w:pPr>
        <w:spacing w:after="0" w:line="240" w:lineRule="auto"/>
      </w:pPr>
      <w:r>
        <w:separator/>
      </w:r>
    </w:p>
  </w:endnote>
  <w:endnote w:type="continuationSeparator" w:id="0">
    <w:p w14:paraId="66633EF8" w14:textId="77777777" w:rsidR="004C7EEA" w:rsidRDefault="004C7EEA" w:rsidP="00C41B0F">
      <w:pPr>
        <w:spacing w:after="0" w:line="240" w:lineRule="auto"/>
      </w:pPr>
      <w:r>
        <w:continuationSeparator/>
      </w:r>
    </w:p>
  </w:endnote>
  <w:endnote w:type="continuationNotice" w:id="1">
    <w:p w14:paraId="55A74EAA" w14:textId="77777777" w:rsidR="004C7EEA" w:rsidRDefault="004C7EE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51B07" w14:textId="77777777" w:rsidR="004C7EEA" w:rsidRDefault="004C7EEA" w:rsidP="00C41B0F">
      <w:pPr>
        <w:spacing w:after="0" w:line="240" w:lineRule="auto"/>
      </w:pPr>
      <w:r>
        <w:separator/>
      </w:r>
    </w:p>
  </w:footnote>
  <w:footnote w:type="continuationSeparator" w:id="0">
    <w:p w14:paraId="091038DA" w14:textId="77777777" w:rsidR="004C7EEA" w:rsidRDefault="004C7EEA" w:rsidP="00C41B0F">
      <w:pPr>
        <w:spacing w:after="0" w:line="240" w:lineRule="auto"/>
      </w:pPr>
      <w:r>
        <w:continuationSeparator/>
      </w:r>
    </w:p>
  </w:footnote>
  <w:footnote w:type="continuationNotice" w:id="1">
    <w:p w14:paraId="178120F3" w14:textId="77777777" w:rsidR="004C7EEA" w:rsidRDefault="004C7EE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57F64"/>
    <w:multiLevelType w:val="hybridMultilevel"/>
    <w:tmpl w:val="FA88BBE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44850"/>
    <w:multiLevelType w:val="hybridMultilevel"/>
    <w:tmpl w:val="E71A8FB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C3F18"/>
    <w:multiLevelType w:val="hybridMultilevel"/>
    <w:tmpl w:val="56A8D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A65FFD"/>
    <w:multiLevelType w:val="hybridMultilevel"/>
    <w:tmpl w:val="E0AEF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D4424"/>
    <w:multiLevelType w:val="hybridMultilevel"/>
    <w:tmpl w:val="004CCE5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E229D0"/>
    <w:multiLevelType w:val="hybridMultilevel"/>
    <w:tmpl w:val="942CEA12"/>
    <w:lvl w:ilvl="0" w:tplc="10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437D5CFF"/>
    <w:multiLevelType w:val="hybridMultilevel"/>
    <w:tmpl w:val="FA16E3F4"/>
    <w:lvl w:ilvl="0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480B2066"/>
    <w:multiLevelType w:val="hybridMultilevel"/>
    <w:tmpl w:val="43C2BF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EC7C4A"/>
    <w:multiLevelType w:val="hybridMultilevel"/>
    <w:tmpl w:val="F154C0A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706E64"/>
    <w:multiLevelType w:val="hybridMultilevel"/>
    <w:tmpl w:val="6916DBD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702B81"/>
    <w:multiLevelType w:val="hybridMultilevel"/>
    <w:tmpl w:val="58B0E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D76522"/>
    <w:multiLevelType w:val="hybridMultilevel"/>
    <w:tmpl w:val="1E90F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D15E23"/>
    <w:multiLevelType w:val="hybridMultilevel"/>
    <w:tmpl w:val="5F84CD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C53E08"/>
    <w:multiLevelType w:val="hybridMultilevel"/>
    <w:tmpl w:val="E40C625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776735"/>
    <w:multiLevelType w:val="hybridMultilevel"/>
    <w:tmpl w:val="36F49C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A264AD"/>
    <w:multiLevelType w:val="hybridMultilevel"/>
    <w:tmpl w:val="1616A99C"/>
    <w:lvl w:ilvl="0" w:tplc="53567F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DCA3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8883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6C33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80F7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4322F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704E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EECA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2611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6A7321"/>
    <w:multiLevelType w:val="hybridMultilevel"/>
    <w:tmpl w:val="20026B6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852D7"/>
    <w:multiLevelType w:val="hybridMultilevel"/>
    <w:tmpl w:val="E3D29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DA0BFC"/>
    <w:multiLevelType w:val="hybridMultilevel"/>
    <w:tmpl w:val="E0AE0E0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253A0E"/>
    <w:multiLevelType w:val="hybridMultilevel"/>
    <w:tmpl w:val="CFAA5EE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7"/>
  </w:num>
  <w:num w:numId="4">
    <w:abstractNumId w:val="8"/>
  </w:num>
  <w:num w:numId="5">
    <w:abstractNumId w:val="5"/>
  </w:num>
  <w:num w:numId="6">
    <w:abstractNumId w:val="4"/>
  </w:num>
  <w:num w:numId="7">
    <w:abstractNumId w:val="13"/>
  </w:num>
  <w:num w:numId="8">
    <w:abstractNumId w:val="9"/>
  </w:num>
  <w:num w:numId="9">
    <w:abstractNumId w:val="16"/>
  </w:num>
  <w:num w:numId="10">
    <w:abstractNumId w:val="14"/>
  </w:num>
  <w:num w:numId="11">
    <w:abstractNumId w:val="18"/>
  </w:num>
  <w:num w:numId="12">
    <w:abstractNumId w:val="1"/>
  </w:num>
  <w:num w:numId="13">
    <w:abstractNumId w:val="19"/>
  </w:num>
  <w:num w:numId="14">
    <w:abstractNumId w:val="0"/>
  </w:num>
  <w:num w:numId="15">
    <w:abstractNumId w:val="10"/>
  </w:num>
  <w:num w:numId="16">
    <w:abstractNumId w:val="3"/>
  </w:num>
  <w:num w:numId="17">
    <w:abstractNumId w:val="11"/>
  </w:num>
  <w:num w:numId="18">
    <w:abstractNumId w:val="6"/>
  </w:num>
  <w:num w:numId="19">
    <w:abstractNumId w:val="2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AA83048-A3CB-484B-9AF1-0BFC74066C31}"/>
    <w:docVar w:name="dgnword-eventsink" w:val="450894496"/>
  </w:docVars>
  <w:rsids>
    <w:rsidRoot w:val="002A5A2E"/>
    <w:rsid w:val="0000039E"/>
    <w:rsid w:val="000066EF"/>
    <w:rsid w:val="00014374"/>
    <w:rsid w:val="000200F1"/>
    <w:rsid w:val="0003030A"/>
    <w:rsid w:val="00034258"/>
    <w:rsid w:val="00037020"/>
    <w:rsid w:val="000406A6"/>
    <w:rsid w:val="00042226"/>
    <w:rsid w:val="000518BE"/>
    <w:rsid w:val="0005399E"/>
    <w:rsid w:val="00054BCE"/>
    <w:rsid w:val="00071508"/>
    <w:rsid w:val="00072DFC"/>
    <w:rsid w:val="00087C10"/>
    <w:rsid w:val="000A1AB3"/>
    <w:rsid w:val="000B1AA0"/>
    <w:rsid w:val="000B2527"/>
    <w:rsid w:val="000C0A40"/>
    <w:rsid w:val="000C1CA3"/>
    <w:rsid w:val="000C7B9A"/>
    <w:rsid w:val="000D0092"/>
    <w:rsid w:val="000F1020"/>
    <w:rsid w:val="00115440"/>
    <w:rsid w:val="00123022"/>
    <w:rsid w:val="00123EAB"/>
    <w:rsid w:val="00125903"/>
    <w:rsid w:val="001260CD"/>
    <w:rsid w:val="00150E3D"/>
    <w:rsid w:val="0015677D"/>
    <w:rsid w:val="00163D74"/>
    <w:rsid w:val="00173CED"/>
    <w:rsid w:val="0017712F"/>
    <w:rsid w:val="001A4338"/>
    <w:rsid w:val="001B0057"/>
    <w:rsid w:val="001B0B00"/>
    <w:rsid w:val="001B1F56"/>
    <w:rsid w:val="001B6D36"/>
    <w:rsid w:val="001B78B6"/>
    <w:rsid w:val="001C2115"/>
    <w:rsid w:val="001D2C7D"/>
    <w:rsid w:val="001D3E90"/>
    <w:rsid w:val="001E07BA"/>
    <w:rsid w:val="001E5A00"/>
    <w:rsid w:val="001F240E"/>
    <w:rsid w:val="0020528A"/>
    <w:rsid w:val="0021223A"/>
    <w:rsid w:val="00213B80"/>
    <w:rsid w:val="00221294"/>
    <w:rsid w:val="00242202"/>
    <w:rsid w:val="00242586"/>
    <w:rsid w:val="00244829"/>
    <w:rsid w:val="00257571"/>
    <w:rsid w:val="002700CC"/>
    <w:rsid w:val="00291B12"/>
    <w:rsid w:val="00293A40"/>
    <w:rsid w:val="002A1122"/>
    <w:rsid w:val="002A1B6C"/>
    <w:rsid w:val="002A1BCB"/>
    <w:rsid w:val="002A4121"/>
    <w:rsid w:val="002A5A2E"/>
    <w:rsid w:val="002C2D96"/>
    <w:rsid w:val="002C3E31"/>
    <w:rsid w:val="002D5842"/>
    <w:rsid w:val="002E1D2E"/>
    <w:rsid w:val="002F5A34"/>
    <w:rsid w:val="00305EB6"/>
    <w:rsid w:val="003062C1"/>
    <w:rsid w:val="00315078"/>
    <w:rsid w:val="0031564F"/>
    <w:rsid w:val="0032388A"/>
    <w:rsid w:val="00324B7E"/>
    <w:rsid w:val="003253EF"/>
    <w:rsid w:val="0034176C"/>
    <w:rsid w:val="00341C4B"/>
    <w:rsid w:val="003439EB"/>
    <w:rsid w:val="003462AE"/>
    <w:rsid w:val="00351F9F"/>
    <w:rsid w:val="00352949"/>
    <w:rsid w:val="00362817"/>
    <w:rsid w:val="00362D23"/>
    <w:rsid w:val="0038749A"/>
    <w:rsid w:val="00397C9D"/>
    <w:rsid w:val="003B02A2"/>
    <w:rsid w:val="003B0B7A"/>
    <w:rsid w:val="003B69FA"/>
    <w:rsid w:val="003D25C0"/>
    <w:rsid w:val="003F5FA1"/>
    <w:rsid w:val="00414479"/>
    <w:rsid w:val="0041790A"/>
    <w:rsid w:val="00445CB4"/>
    <w:rsid w:val="00447B81"/>
    <w:rsid w:val="00452D6C"/>
    <w:rsid w:val="004537F3"/>
    <w:rsid w:val="0048027A"/>
    <w:rsid w:val="0048244B"/>
    <w:rsid w:val="004906A2"/>
    <w:rsid w:val="004913AA"/>
    <w:rsid w:val="00495CAE"/>
    <w:rsid w:val="004A5870"/>
    <w:rsid w:val="004C7EEA"/>
    <w:rsid w:val="004D06F4"/>
    <w:rsid w:val="004F5940"/>
    <w:rsid w:val="005000C3"/>
    <w:rsid w:val="00501899"/>
    <w:rsid w:val="00507831"/>
    <w:rsid w:val="00514378"/>
    <w:rsid w:val="005339DF"/>
    <w:rsid w:val="00540741"/>
    <w:rsid w:val="00540BFD"/>
    <w:rsid w:val="00542F9B"/>
    <w:rsid w:val="00544D23"/>
    <w:rsid w:val="00560AA4"/>
    <w:rsid w:val="00567EB8"/>
    <w:rsid w:val="00582CE4"/>
    <w:rsid w:val="005A2D63"/>
    <w:rsid w:val="005B45CF"/>
    <w:rsid w:val="005B5ACB"/>
    <w:rsid w:val="005C3055"/>
    <w:rsid w:val="005F666A"/>
    <w:rsid w:val="00601208"/>
    <w:rsid w:val="00621321"/>
    <w:rsid w:val="0062733F"/>
    <w:rsid w:val="00631CF7"/>
    <w:rsid w:val="00634877"/>
    <w:rsid w:val="00635DC3"/>
    <w:rsid w:val="00650F84"/>
    <w:rsid w:val="00657863"/>
    <w:rsid w:val="0066577C"/>
    <w:rsid w:val="006659D8"/>
    <w:rsid w:val="006722D3"/>
    <w:rsid w:val="00680E39"/>
    <w:rsid w:val="006A61D8"/>
    <w:rsid w:val="006A69A1"/>
    <w:rsid w:val="006A70E1"/>
    <w:rsid w:val="006B6821"/>
    <w:rsid w:val="006C0777"/>
    <w:rsid w:val="006C0FEE"/>
    <w:rsid w:val="006D7103"/>
    <w:rsid w:val="006E14D1"/>
    <w:rsid w:val="006E2231"/>
    <w:rsid w:val="006F0DBC"/>
    <w:rsid w:val="007029C7"/>
    <w:rsid w:val="0072072B"/>
    <w:rsid w:val="0073069A"/>
    <w:rsid w:val="00732AEC"/>
    <w:rsid w:val="00733CB4"/>
    <w:rsid w:val="0074402C"/>
    <w:rsid w:val="007524F5"/>
    <w:rsid w:val="007564AC"/>
    <w:rsid w:val="007A4D03"/>
    <w:rsid w:val="007A566E"/>
    <w:rsid w:val="007B0151"/>
    <w:rsid w:val="007D4504"/>
    <w:rsid w:val="007E6F00"/>
    <w:rsid w:val="007F1AE8"/>
    <w:rsid w:val="007F5498"/>
    <w:rsid w:val="007F76CD"/>
    <w:rsid w:val="00802C71"/>
    <w:rsid w:val="00821712"/>
    <w:rsid w:val="00822CB2"/>
    <w:rsid w:val="00825A12"/>
    <w:rsid w:val="008315B8"/>
    <w:rsid w:val="00831ED2"/>
    <w:rsid w:val="00835902"/>
    <w:rsid w:val="008454CE"/>
    <w:rsid w:val="008474A5"/>
    <w:rsid w:val="00864E90"/>
    <w:rsid w:val="008702C3"/>
    <w:rsid w:val="00874410"/>
    <w:rsid w:val="00877B0A"/>
    <w:rsid w:val="008A3367"/>
    <w:rsid w:val="008B1DC0"/>
    <w:rsid w:val="008C2FCC"/>
    <w:rsid w:val="008D3B8A"/>
    <w:rsid w:val="008D634F"/>
    <w:rsid w:val="008E2C55"/>
    <w:rsid w:val="008E604D"/>
    <w:rsid w:val="008E6A5F"/>
    <w:rsid w:val="008F5E66"/>
    <w:rsid w:val="009010CF"/>
    <w:rsid w:val="00901AE9"/>
    <w:rsid w:val="0090384F"/>
    <w:rsid w:val="009113CF"/>
    <w:rsid w:val="00920F2D"/>
    <w:rsid w:val="00930521"/>
    <w:rsid w:val="009408EC"/>
    <w:rsid w:val="00944AB4"/>
    <w:rsid w:val="00956580"/>
    <w:rsid w:val="00957F7F"/>
    <w:rsid w:val="00966F12"/>
    <w:rsid w:val="00971599"/>
    <w:rsid w:val="00983731"/>
    <w:rsid w:val="00986AE0"/>
    <w:rsid w:val="00991FF2"/>
    <w:rsid w:val="00993BD1"/>
    <w:rsid w:val="009A469C"/>
    <w:rsid w:val="009B1B81"/>
    <w:rsid w:val="009B3B25"/>
    <w:rsid w:val="009C0C90"/>
    <w:rsid w:val="009C49D0"/>
    <w:rsid w:val="009D26B0"/>
    <w:rsid w:val="009D375F"/>
    <w:rsid w:val="00A01735"/>
    <w:rsid w:val="00A135EA"/>
    <w:rsid w:val="00A267EF"/>
    <w:rsid w:val="00A36A7C"/>
    <w:rsid w:val="00A40240"/>
    <w:rsid w:val="00A54F58"/>
    <w:rsid w:val="00A56534"/>
    <w:rsid w:val="00A7160A"/>
    <w:rsid w:val="00A772B3"/>
    <w:rsid w:val="00A808A9"/>
    <w:rsid w:val="00A858D8"/>
    <w:rsid w:val="00A92155"/>
    <w:rsid w:val="00A95C4C"/>
    <w:rsid w:val="00AA10B0"/>
    <w:rsid w:val="00AA381A"/>
    <w:rsid w:val="00AB3983"/>
    <w:rsid w:val="00AB3D06"/>
    <w:rsid w:val="00AB6DC6"/>
    <w:rsid w:val="00AC7BEE"/>
    <w:rsid w:val="00AD18FB"/>
    <w:rsid w:val="00AD5EEF"/>
    <w:rsid w:val="00AD6625"/>
    <w:rsid w:val="00AD7F57"/>
    <w:rsid w:val="00AE2151"/>
    <w:rsid w:val="00AE64B8"/>
    <w:rsid w:val="00AE7B66"/>
    <w:rsid w:val="00B1457C"/>
    <w:rsid w:val="00B15E74"/>
    <w:rsid w:val="00B20FCE"/>
    <w:rsid w:val="00B26536"/>
    <w:rsid w:val="00B313EC"/>
    <w:rsid w:val="00B31FED"/>
    <w:rsid w:val="00B42BA4"/>
    <w:rsid w:val="00B42DBC"/>
    <w:rsid w:val="00B4783F"/>
    <w:rsid w:val="00B571EF"/>
    <w:rsid w:val="00B72CD1"/>
    <w:rsid w:val="00B73C3F"/>
    <w:rsid w:val="00B74CDF"/>
    <w:rsid w:val="00B77D55"/>
    <w:rsid w:val="00B81606"/>
    <w:rsid w:val="00B8272D"/>
    <w:rsid w:val="00B86D23"/>
    <w:rsid w:val="00B95667"/>
    <w:rsid w:val="00B96E8D"/>
    <w:rsid w:val="00B97F51"/>
    <w:rsid w:val="00BA0526"/>
    <w:rsid w:val="00BA7274"/>
    <w:rsid w:val="00BA752F"/>
    <w:rsid w:val="00BB023E"/>
    <w:rsid w:val="00BB5481"/>
    <w:rsid w:val="00BD4629"/>
    <w:rsid w:val="00BD72DB"/>
    <w:rsid w:val="00BE2088"/>
    <w:rsid w:val="00BF4296"/>
    <w:rsid w:val="00C014FE"/>
    <w:rsid w:val="00C02275"/>
    <w:rsid w:val="00C02A00"/>
    <w:rsid w:val="00C065BB"/>
    <w:rsid w:val="00C100CB"/>
    <w:rsid w:val="00C12965"/>
    <w:rsid w:val="00C16026"/>
    <w:rsid w:val="00C419EB"/>
    <w:rsid w:val="00C41B0F"/>
    <w:rsid w:val="00C43C5E"/>
    <w:rsid w:val="00C53623"/>
    <w:rsid w:val="00C54E0F"/>
    <w:rsid w:val="00C57A57"/>
    <w:rsid w:val="00C57F63"/>
    <w:rsid w:val="00C60773"/>
    <w:rsid w:val="00C771CB"/>
    <w:rsid w:val="00C83781"/>
    <w:rsid w:val="00C8426E"/>
    <w:rsid w:val="00C94A78"/>
    <w:rsid w:val="00CA42E8"/>
    <w:rsid w:val="00CA49C4"/>
    <w:rsid w:val="00CB2785"/>
    <w:rsid w:val="00CB5428"/>
    <w:rsid w:val="00CC270D"/>
    <w:rsid w:val="00CC2E99"/>
    <w:rsid w:val="00CC4E7B"/>
    <w:rsid w:val="00CC52C4"/>
    <w:rsid w:val="00CE20FF"/>
    <w:rsid w:val="00CE6B2C"/>
    <w:rsid w:val="00CF4EF1"/>
    <w:rsid w:val="00D0038B"/>
    <w:rsid w:val="00D1133C"/>
    <w:rsid w:val="00D12C34"/>
    <w:rsid w:val="00D25006"/>
    <w:rsid w:val="00D3051C"/>
    <w:rsid w:val="00D30BEF"/>
    <w:rsid w:val="00D33EAA"/>
    <w:rsid w:val="00D36410"/>
    <w:rsid w:val="00D45809"/>
    <w:rsid w:val="00D50406"/>
    <w:rsid w:val="00D507D9"/>
    <w:rsid w:val="00D51F0F"/>
    <w:rsid w:val="00D56EAB"/>
    <w:rsid w:val="00D63FFB"/>
    <w:rsid w:val="00D65833"/>
    <w:rsid w:val="00D6640C"/>
    <w:rsid w:val="00D81DD0"/>
    <w:rsid w:val="00D86BD7"/>
    <w:rsid w:val="00D94BC6"/>
    <w:rsid w:val="00DB045B"/>
    <w:rsid w:val="00DB47BF"/>
    <w:rsid w:val="00DC03DB"/>
    <w:rsid w:val="00DD417D"/>
    <w:rsid w:val="00DE4ED9"/>
    <w:rsid w:val="00DF778A"/>
    <w:rsid w:val="00E05E72"/>
    <w:rsid w:val="00E11E07"/>
    <w:rsid w:val="00E137F2"/>
    <w:rsid w:val="00E14613"/>
    <w:rsid w:val="00E3214C"/>
    <w:rsid w:val="00E3698A"/>
    <w:rsid w:val="00E440B2"/>
    <w:rsid w:val="00E4773B"/>
    <w:rsid w:val="00E52B1F"/>
    <w:rsid w:val="00E6187D"/>
    <w:rsid w:val="00E625F5"/>
    <w:rsid w:val="00E63558"/>
    <w:rsid w:val="00E74944"/>
    <w:rsid w:val="00E818D8"/>
    <w:rsid w:val="00E85C96"/>
    <w:rsid w:val="00E967D0"/>
    <w:rsid w:val="00EA2E12"/>
    <w:rsid w:val="00EB0192"/>
    <w:rsid w:val="00EC370F"/>
    <w:rsid w:val="00EC79EE"/>
    <w:rsid w:val="00ED50BB"/>
    <w:rsid w:val="00ED5D71"/>
    <w:rsid w:val="00EE2D95"/>
    <w:rsid w:val="00EE482B"/>
    <w:rsid w:val="00F016B3"/>
    <w:rsid w:val="00F07F65"/>
    <w:rsid w:val="00F127F1"/>
    <w:rsid w:val="00F15595"/>
    <w:rsid w:val="00F27677"/>
    <w:rsid w:val="00F31C3D"/>
    <w:rsid w:val="00F34C5C"/>
    <w:rsid w:val="00F40E37"/>
    <w:rsid w:val="00F416CD"/>
    <w:rsid w:val="00F56F0B"/>
    <w:rsid w:val="00F67E59"/>
    <w:rsid w:val="00FA43F5"/>
    <w:rsid w:val="00FA6684"/>
    <w:rsid w:val="00FC7AEB"/>
    <w:rsid w:val="00FD0B92"/>
    <w:rsid w:val="00FD3BBF"/>
    <w:rsid w:val="00FD4995"/>
    <w:rsid w:val="00FD6785"/>
    <w:rsid w:val="00FD7C77"/>
    <w:rsid w:val="00FF2EC5"/>
    <w:rsid w:val="00FF34C5"/>
    <w:rsid w:val="032F0BB8"/>
    <w:rsid w:val="0C19A7B8"/>
    <w:rsid w:val="0C5ACDF5"/>
    <w:rsid w:val="15F075EA"/>
    <w:rsid w:val="1A7F40DA"/>
    <w:rsid w:val="1B1637B5"/>
    <w:rsid w:val="220EF217"/>
    <w:rsid w:val="2B86ABCC"/>
    <w:rsid w:val="382DABE0"/>
    <w:rsid w:val="3A6AD44A"/>
    <w:rsid w:val="3C06A4AB"/>
    <w:rsid w:val="557D0D1E"/>
    <w:rsid w:val="5B2EA5A7"/>
    <w:rsid w:val="5F46E12F"/>
    <w:rsid w:val="61ABBD3E"/>
    <w:rsid w:val="61C9804B"/>
    <w:rsid w:val="62B8A235"/>
    <w:rsid w:val="6FA9582F"/>
    <w:rsid w:val="7C088D58"/>
    <w:rsid w:val="7E17D295"/>
    <w:rsid w:val="7FFF1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8D0DE7"/>
  <w15:chartTrackingRefBased/>
  <w15:docId w15:val="{86E3658F-9F81-4EA2-B4D6-2136E2176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22D3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6625"/>
    <w:pPr>
      <w:keepNext/>
      <w:keepLines/>
      <w:spacing w:before="240" w:after="0"/>
      <w:outlineLvl w:val="0"/>
    </w:pPr>
    <w:rPr>
      <w:rFonts w:eastAsiaTheme="majorEastAsia" w:cstheme="majorBidi"/>
      <w:color w:val="7FA9AE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2EC5"/>
    <w:pPr>
      <w:keepNext/>
      <w:keepLines/>
      <w:spacing w:after="240"/>
      <w:outlineLvl w:val="1"/>
    </w:pPr>
    <w:rPr>
      <w:rFonts w:eastAsiaTheme="majorEastAsia" w:cstheme="majorBidi"/>
      <w:color w:val="7FA9AE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4877"/>
    <w:pPr>
      <w:keepNext/>
      <w:keepLines/>
      <w:spacing w:before="40" w:after="0"/>
      <w:outlineLvl w:val="2"/>
    </w:pPr>
    <w:rPr>
      <w:rFonts w:eastAsiaTheme="majorEastAsia" w:cstheme="majorBidi"/>
      <w:color w:val="7FA9AE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34877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7FA9A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15E74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AD6625"/>
    <w:rPr>
      <w:rFonts w:ascii="Arial" w:eastAsiaTheme="majorEastAsia" w:hAnsi="Arial" w:cstheme="majorBidi"/>
      <w:color w:val="7FA9AE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F2EC5"/>
    <w:rPr>
      <w:rFonts w:ascii="Arial" w:eastAsiaTheme="majorEastAsia" w:hAnsi="Arial" w:cstheme="majorBidi"/>
      <w:color w:val="7FA9AE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B15E7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15E74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3Char">
    <w:name w:val="Heading 3 Char"/>
    <w:basedOn w:val="DefaultParagraphFont"/>
    <w:link w:val="Heading3"/>
    <w:uiPriority w:val="9"/>
    <w:rsid w:val="00634877"/>
    <w:rPr>
      <w:rFonts w:ascii="Arial" w:eastAsiaTheme="majorEastAsia" w:hAnsi="Arial" w:cstheme="majorBidi"/>
      <w:color w:val="7FA9AE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5E74"/>
    <w:pPr>
      <w:numPr>
        <w:ilvl w:val="1"/>
      </w:numPr>
    </w:pPr>
    <w:rPr>
      <w:rFonts w:eastAsiaTheme="minorEastAsia"/>
      <w:color w:val="4D4D4F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15E74"/>
    <w:rPr>
      <w:rFonts w:ascii="Arial" w:eastAsiaTheme="minorEastAsia" w:hAnsi="Arial"/>
      <w:color w:val="4D4D4F"/>
      <w:spacing w:val="15"/>
    </w:rPr>
  </w:style>
  <w:style w:type="character" w:styleId="SubtleEmphasis">
    <w:name w:val="Subtle Emphasis"/>
    <w:basedOn w:val="DefaultParagraphFont"/>
    <w:uiPriority w:val="19"/>
    <w:qFormat/>
    <w:rsid w:val="00C94A78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C94A78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CC2E99"/>
    <w:rPr>
      <w:i/>
      <w:iCs/>
      <w:color w:val="7FA9AE"/>
    </w:rPr>
  </w:style>
  <w:style w:type="character" w:styleId="Strong">
    <w:name w:val="Strong"/>
    <w:basedOn w:val="DefaultParagraphFont"/>
    <w:uiPriority w:val="22"/>
    <w:qFormat/>
    <w:rsid w:val="00C94A7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C94A78"/>
    <w:pPr>
      <w:spacing w:before="200"/>
      <w:ind w:left="864" w:right="864"/>
      <w:jc w:val="center"/>
    </w:pPr>
    <w:rPr>
      <w:i/>
      <w:iCs/>
      <w:color w:val="4D4D4F"/>
    </w:rPr>
  </w:style>
  <w:style w:type="character" w:customStyle="1" w:styleId="QuoteChar">
    <w:name w:val="Quote Char"/>
    <w:basedOn w:val="DefaultParagraphFont"/>
    <w:link w:val="Quote"/>
    <w:uiPriority w:val="29"/>
    <w:rsid w:val="00C94A78"/>
    <w:rPr>
      <w:rFonts w:ascii="Arial" w:hAnsi="Arial"/>
      <w:i/>
      <w:iCs/>
      <w:color w:val="4D4D4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4A78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7FA9A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4A78"/>
    <w:rPr>
      <w:rFonts w:ascii="Arial" w:hAnsi="Arial"/>
      <w:i/>
      <w:iCs/>
      <w:color w:val="7FA9AE"/>
    </w:rPr>
  </w:style>
  <w:style w:type="character" w:styleId="SubtleReference">
    <w:name w:val="Subtle Reference"/>
    <w:basedOn w:val="DefaultParagraphFont"/>
    <w:uiPriority w:val="31"/>
    <w:qFormat/>
    <w:rsid w:val="00C94A78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C94A78"/>
    <w:rPr>
      <w:b/>
      <w:bCs/>
      <w:smallCaps/>
      <w:color w:val="7FA9AE"/>
      <w:spacing w:val="5"/>
    </w:rPr>
  </w:style>
  <w:style w:type="character" w:styleId="BookTitle">
    <w:name w:val="Book Title"/>
    <w:basedOn w:val="DefaultParagraphFont"/>
    <w:uiPriority w:val="33"/>
    <w:qFormat/>
    <w:rsid w:val="00C94A78"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C94A78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634877"/>
    <w:rPr>
      <w:rFonts w:ascii="Arial" w:eastAsiaTheme="majorEastAsia" w:hAnsi="Arial" w:cstheme="majorBidi"/>
      <w:i/>
      <w:iCs/>
      <w:color w:val="7FA9AE"/>
    </w:rPr>
  </w:style>
  <w:style w:type="character" w:styleId="Hyperlink">
    <w:name w:val="Hyperlink"/>
    <w:uiPriority w:val="99"/>
    <w:rsid w:val="00C41B0F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rsid w:val="00C41B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1B0F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41B0F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41B0F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41B0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41B0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1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B0F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1B0F"/>
    <w:pPr>
      <w:spacing w:after="160"/>
    </w:pPr>
    <w:rPr>
      <w:rFonts w:ascii="Arial" w:eastAsiaTheme="minorHAnsi" w:hAnsi="Arial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1B0F"/>
    <w:rPr>
      <w:rFonts w:ascii="Arial" w:eastAsia="Times New Roman" w:hAnsi="Arial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877B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7B0A"/>
    <w:rPr>
      <w:rFonts w:ascii="Arial" w:hAnsi="Arial"/>
    </w:rPr>
  </w:style>
  <w:style w:type="paragraph" w:styleId="Footer">
    <w:name w:val="footer"/>
    <w:basedOn w:val="Normal"/>
    <w:link w:val="FooterChar"/>
    <w:uiPriority w:val="99"/>
    <w:semiHidden/>
    <w:unhideWhenUsed/>
    <w:rsid w:val="00877B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7B0A"/>
    <w:rPr>
      <w:rFonts w:ascii="Arial" w:hAnsi="Arial"/>
    </w:rPr>
  </w:style>
  <w:style w:type="character" w:styleId="UnresolvedMention">
    <w:name w:val="Unresolved Mention"/>
    <w:basedOn w:val="DefaultParagraphFont"/>
    <w:uiPriority w:val="99"/>
    <w:unhideWhenUsed/>
    <w:rsid w:val="00C014FE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C014F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984FF7E5A7174AA0CADF7BFDE593D7" ma:contentTypeVersion="6" ma:contentTypeDescription="Create a new document." ma:contentTypeScope="" ma:versionID="4b557437d30ce1fb95dc582b33822155">
  <xsd:schema xmlns:xsd="http://www.w3.org/2001/XMLSchema" xmlns:xs="http://www.w3.org/2001/XMLSchema" xmlns:p="http://schemas.microsoft.com/office/2006/metadata/properties" xmlns:ns2="175f2bb9-7ea2-4dfb-aa70-2a37afa654a9" xmlns:ns3="bc2de261-d455-4aa8-8045-ab467327425b" targetNamespace="http://schemas.microsoft.com/office/2006/metadata/properties" ma:root="true" ma:fieldsID="0d6016aae0be466730f3933da3678b6c" ns2:_="" ns3:_="">
    <xsd:import namespace="175f2bb9-7ea2-4dfb-aa70-2a37afa654a9"/>
    <xsd:import namespace="bc2de261-d455-4aa8-8045-ab46732742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5f2bb9-7ea2-4dfb-aa70-2a37afa654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2de261-d455-4aa8-8045-ab467327425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8D69F5-5F62-4B73-8C1A-377C2DB00C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5f2bb9-7ea2-4dfb-aa70-2a37afa654a9"/>
    <ds:schemaRef ds:uri="bc2de261-d455-4aa8-8045-ab46732742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9DC260-CF28-4345-BA14-C61617A30F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7E766A-77B5-40F9-87BD-61FEA8C8090E}">
  <ds:schemaRefs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  <ds:schemaRef ds:uri="bc2de261-d455-4aa8-8045-ab467327425b"/>
    <ds:schemaRef ds:uri="http://purl.org/dc/elements/1.1/"/>
    <ds:schemaRef ds:uri="175f2bb9-7ea2-4dfb-aa70-2a37afa654a9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 Koseva</dc:creator>
  <cp:keywords/>
  <dc:description/>
  <cp:lastModifiedBy>Dale</cp:lastModifiedBy>
  <cp:revision>347</cp:revision>
  <dcterms:created xsi:type="dcterms:W3CDTF">2020-06-26T21:21:00Z</dcterms:created>
  <dcterms:modified xsi:type="dcterms:W3CDTF">2021-08-23T16:45:00Z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0x01010097984FF7E5A7174AA0CADF7BFDE593D7</vt:lpwstr>
  </property>
</Properties>
</file>